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charts/chart9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_rels/chart13.xml.rels" ContentType="application/vnd.openxmlformats-package.relationships+xml"/>
  <Override PartName="/word/charts/_rels/chart9.xml.rels" ContentType="application/vnd.openxmlformats-package.relationships+xml"/>
  <Override PartName="/word/charts/_rels/chart1.xml.rels" ContentType="application/vnd.openxmlformats-package.relationships+xml"/>
  <Override PartName="/word/charts/_rels/chart2.xml.rels" ContentType="application/vnd.openxmlformats-package.relationships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5.xml.rels" ContentType="application/vnd.openxmlformats-package.relationships+xml"/>
  <Override PartName="/word/charts/_rels/chart10.xml.rels" ContentType="application/vnd.openxmlformats-package.relationships+xml"/>
  <Override PartName="/word/charts/_rels/chart6.xml.rels" ContentType="application/vnd.openxmlformats-package.relationships+xml"/>
  <Override PartName="/word/charts/_rels/chart11.xml.rels" ContentType="application/vnd.openxmlformats-package.relationships+xml"/>
  <Override PartName="/word/charts/_rels/chart7.xml.rels" ContentType="application/vnd.openxmlformats-package.relationships+xml"/>
  <Override PartName="/word/charts/_rels/chart12.xml.rels" ContentType="application/vnd.openxmlformats-package.relationships+xml"/>
  <Override PartName="/word/charts/_rels/chart8.xml.rels" ContentType="application/vnd.openxmlformats-package.relationships+xml"/>
  <Override PartName="/word/charts/_rels/chart14.xml.rels" ContentType="application/vnd.openxmlformats-package.relationships+xml"/>
  <Override PartName="/word/charts/_rels/chart15.xml.rels" ContentType="application/vnd.openxmlformats-package.relationships+xml"/>
  <Override PartName="/word/charts/_rels/chart16.xml.rels" ContentType="application/vnd.openxmlformats-package.relationship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embeddings/_____Microsoft_Excel11.xlsx" ContentType="application/vnd.openxmlformats-officedocument.spreadsheetml.sheet"/>
  <Override PartName="/word/embeddings/_____Microsoft_Excel.xlsx" ContentType="application/vnd.openxmlformats-officedocument.spreadsheetml.sheet"/>
  <Override PartName="/word/embeddings/_____Microsoft_Excel3.xlsx" ContentType="application/vnd.openxmlformats-officedocument.spreadsheetml.sheet"/>
  <Override PartName="/word/embeddings/_____Microsoft_Excel8.xlsx" ContentType="application/vnd.openxmlformats-officedocument.spreadsheetml.sheet"/>
  <Override PartName="/word/embeddings/_____Microsoft_Excel10.xlsx" ContentType="application/vnd.openxmlformats-officedocument.spreadsheetml.sheet"/>
  <Override PartName="/word/embeddings/_____Microsoft_Excel2.xlsx" ContentType="application/vnd.openxmlformats-officedocument.spreadsheetml.sheet"/>
  <Override PartName="/word/embeddings/_____Microsoft_Excel15.xlsx" ContentType="application/vnd.openxmlformats-officedocument.spreadsheetml.sheet"/>
  <Override PartName="/word/embeddings/_____Microsoft_Excel7.xlsx" ContentType="application/vnd.openxmlformats-officedocument.spreadsheetml.sheet"/>
  <Override PartName="/word/embeddings/_____Microsoft_Excel6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14.xlsx" ContentType="application/vnd.openxmlformats-officedocument.spreadsheetml.sheet"/>
  <Override PartName="/word/embeddings/_____Microsoft_Excel5.xlsx" ContentType="application/vnd.openxmlformats-officedocument.spreadsheetml.sheet"/>
  <Override PartName="/word/embeddings/_____Microsoft_Excel13.xlsx" ContentType="application/vnd.openxmlformats-officedocument.spreadsheetml.sheet"/>
  <Override PartName="/word/embeddings/_____Microsoft_Excel9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12.xlsx" ContentType="application/vnd.openxmlformats-officedocument.spreadsheetml.sheet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/>
        <w:drawing>
          <wp:inline distT="0" distB="0" distL="0" distR="0">
            <wp:extent cx="5055235" cy="914400"/>
            <wp:effectExtent l="0" t="0" r="0" b="0"/>
            <wp:docPr id="1" name="Рисунок 1" descr="C:\Users\Светочка\Desktop\эмпирика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Светочка\Desktop\эмпирика2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/>
      </w:pPr>
      <w:r>
        <w:rPr>
          <w:rFonts w:ascii="Times New Roman" w:hAnsi="Times New Roman"/>
          <w:sz w:val="20"/>
          <w:szCs w:val="20"/>
        </w:rPr>
        <w:t xml:space="preserve">Россия, 625000, г. Тюмень, ул. М.Сперанского, 37 кв.56  тел. 8 929 266 06 90 e-mail: </w:t>
      </w:r>
      <w:hyperlink r:id="rId3">
        <w:r>
          <w:rPr>
            <w:rStyle w:val="Style13"/>
            <w:rFonts w:ascii="Times New Roman" w:hAnsi="Times New Roman"/>
            <w:sz w:val="20"/>
            <w:szCs w:val="20"/>
          </w:rPr>
          <w:t>sociologos@bk.ru</w:t>
        </w:r>
      </w:hyperlink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ИНН/КПП 7203342002/720301001  р/с 40702810200020018429  в Филиале №6602 ВТБ 24 (ПАО)   к/с 30101810965770000413 БИК 046577413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tbl>
      <w:tblPr>
        <w:tblStyle w:val="a3"/>
        <w:tblpPr w:bottomFromText="0" w:horzAnchor="margin" w:leftFromText="180" w:rightFromText="180" w:tblpX="0" w:tblpXSpec="center" w:tblpY="8" w:topFromText="0" w:vertAnchor="text"/>
        <w:tblW w:w="935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7"/>
        <w:gridCol w:w="4677"/>
      </w:tblGrid>
      <w:tr>
        <w:trPr/>
        <w:tc>
          <w:tcPr>
            <w:tcW w:w="46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Аналитический отчет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проведения независимой оценки качества оказания услуг культуры организациями культуры Тюменской области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Тюмень, 2018 г.</w:t>
      </w:r>
    </w:p>
    <w:p>
      <w:pPr>
        <w:pStyle w:val="Normal"/>
        <w:spacing w:lineRule="auto" w:line="259" w:before="0" w:after="160"/>
        <w:rPr/>
      </w:pPr>
      <w:r>
        <w:rPr/>
      </w:r>
      <w:r>
        <w:br w:type="page"/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СОДЕРЖАНИЕ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sdt>
      <w:sdtPr>
        <w:docPartObj>
          <w:docPartGallery w:val="Table of Contents"/>
          <w:docPartUnique w:val="true"/>
        </w:docPartObj>
        <w:id w:val="2134045124"/>
      </w:sdtPr>
      <w:sdtContent>
        <w:p>
          <w:pPr>
            <w:pStyle w:val="TOCHeading"/>
            <w:rPr/>
          </w:pPr>
          <w:r>
            <w:rPr/>
          </w:r>
        </w:p>
        <w:p>
          <w:pPr>
            <w:pStyle w:val="12"/>
            <w:tabs>
              <w:tab w:val="right" w:pos="9345" w:leader="dot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r>
            <w:fldChar w:fldCharType="begin"/>
          </w:r>
          <w:r>
            <w:instrText> TOC \z \o "1-3" \u \h</w:instrText>
          </w:r>
          <w:r>
            <w:fldChar w:fldCharType="separate"/>
          </w:r>
          <w:hyperlink w:anchor="_Toc533068977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ВВЕДЕНИЕ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_Toc533068977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533068978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Результаты опроса получателей услуг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_Toc533068978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533068979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Итоговые значения показателей независимой оценки в разрезе критериев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_Toc533068979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533068980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Рэнкинги и итоговые рейтинги учреждений культуры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_Toc533068980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23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533068981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ЗАКЛЮЧЕНИЕ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_Toc533068981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26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jc w:val="both"/>
            <w:rPr>
              <w:rFonts w:ascii="Times New Roman" w:hAnsi="Times New Roman" w:cs="Times New Roman"/>
              <w:sz w:val="24"/>
              <w:szCs w:val="24"/>
            </w:rPr>
          </w:pPr>
          <w:hyperlink w:anchor="_Toc533068982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РЕКОМЕНДАЦИИ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_Toc533068982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27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12"/>
            <w:tabs>
              <w:tab w:val="right" w:pos="9345" w:leader="dot"/>
            </w:tabs>
            <w:jc w:val="both"/>
            <w:rPr/>
          </w:pPr>
          <w:hyperlink w:anchor="_Toc533068983">
            <w:r>
              <w:rPr>
                <w:webHidden/>
                <w:rStyle w:val="Style16"/>
                <w:rFonts w:cs="Times New Roman" w:ascii="Times New Roman" w:hAnsi="Times New Roman"/>
                <w:sz w:val="24"/>
                <w:szCs w:val="24"/>
              </w:rPr>
              <w:t>ПРИЛОЖЕНИЕ №1. Список организаций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_Toc533068983 \h</w:instrText>
            </w:r>
            <w:r>
              <w:rPr>
                <w:webHidden/>
              </w:rPr>
              <w:fldChar w:fldCharType="separate"/>
            </w:r>
            <w:r>
              <w:rPr>
                <w:rStyle w:val="Style16"/>
                <w:rFonts w:cs="Times New Roman" w:ascii="Times New Roman" w:hAnsi="Times New Roman"/>
                <w:vanish w:val="false"/>
                <w:sz w:val="24"/>
                <w:szCs w:val="24"/>
              </w:rPr>
              <w:tab/>
              <w:t>30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rPr/>
          </w:pPr>
          <w:r>
            <w:rPr/>
          </w:r>
          <w:r>
            <w:fldChar w:fldCharType="end"/>
          </w:r>
        </w:p>
      </w:sdtContent>
    </w:sdt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1"/>
        <w:rPr/>
      </w:pPr>
      <w:bookmarkStart w:id="2" w:name="_Toc533068977"/>
      <w:bookmarkEnd w:id="2"/>
      <w:r>
        <w:rPr/>
        <w:t>ВВЕДЕНИЕ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Оказание услуг проходило в рамках независимой оценки качества оказания услуг организациями культуры Тюменской области. В рамках оказания услуг, независимая оценка качества оказания услуг была проведена для 10 организаций культуры Тюменской области.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качестве методов сбора информации для независимой оценки выступили: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 получателей услуг;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Контент анализ официальных сайтов;</w:t>
      </w:r>
    </w:p>
    <w:p>
      <w:pPr>
        <w:pStyle w:val="ListParagraph"/>
        <w:numPr>
          <w:ilvl w:val="0"/>
          <w:numId w:val="3"/>
        </w:numPr>
        <w:spacing w:lineRule="auto" w:line="36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Включенное наблюдение в организациях.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Опрос получателей услуг проходил в соответствии с формой №3. Объем выборочной совокупности в зависимости от количества получателей услуг в год составил 150, 500 или 1000 человек для каждой организации. Опрос получателей услуг проходил в электронной форме при помощи сервиса Тестограф.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Контент анализ официальных сайтов организаций социального обслуживания проходил в соответствии с формой №1. Включенное наблюдение в организациях социального обслуживания проходило в соответствии с формой №2 и приложением к ней.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Результаты опроса были обработаны с помощью специализированного программного обеспечения IBM SPSS Statistics 21 ver. (Совместим с MS Office Excel).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основании полученных данных по всем методам проведения исследования рассчитан и составлен итоговый рейтинг для каждого учреждения по всем показателям в соответствии с отчетом по организационному этапу.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1"/>
        <w:rPr/>
      </w:pPr>
      <w:bookmarkStart w:id="3" w:name="_Toc533068978"/>
      <w:bookmarkEnd w:id="3"/>
      <w:r>
        <w:rPr/>
        <w:t>Результаты опроса получателей услуг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опрошенных получателей услуг</w:t>
      </w:r>
    </w:p>
    <w:tbl>
      <w:tblPr>
        <w:tblStyle w:val="a3"/>
        <w:tblW w:w="9344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1"/>
      </w:tblGrid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ЗГО «Заводоуковский КДЦ»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1117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 МО ЗГО «Районный ЦКиД»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1008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 МО ЗГО «Заводоуковский БЦ»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1051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1207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«Арт-Вояж» Ялуторовск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1033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«ЦБС г. Ялуторовска»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1001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«Объединение Ишимский ГКЦ»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1058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Цирковая студия «Мечта»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533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«Ишимская ГБС»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1045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46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1096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качеством, полнотой и доступностью информации, размещенной на информационных стендах внутри организации (Диаграмма 1).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048125"/>
            <wp:effectExtent l="0" t="0" r="0" b="0"/>
            <wp:docPr id="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1). Больше всего не удовлетворены стендами респонденты из МАУК «Объединение Ишимский ГКЦ».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качеством, полнотой и доступностью информации о деятельности организации культуры, размещенной на информационных стендах в помещении организации культуры?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69"/>
        <w:gridCol w:w="1517"/>
        <w:gridCol w:w="1468"/>
        <w:gridCol w:w="937"/>
        <w:gridCol w:w="1502"/>
        <w:gridCol w:w="1551"/>
      </w:tblGrid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видел стенды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82,9%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13,5%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3,6%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86,3%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13,3%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88,8%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10,6%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,6%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87,4%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8,0%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4,4%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97,3%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2,7%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99,7%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90,5%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8,8%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96,2%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3,8%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98,6%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1,3%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6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1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81,3%</w:t>
            </w:r>
          </w:p>
        </w:tc>
        <w:tc>
          <w:tcPr>
            <w:tcW w:w="1468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13,1%</w:t>
            </w:r>
          </w:p>
        </w:tc>
        <w:tc>
          <w:tcPr>
            <w:tcW w:w="937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5,4%</w:t>
            </w:r>
          </w:p>
        </w:tc>
        <w:tc>
          <w:tcPr>
            <w:tcW w:w="15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5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качеством, полнотой и доступностью информации, размещенной на официальных сайтах организаций (Диаграмма 2).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009900"/>
            <wp:effectExtent l="0" t="0" r="0" b="0"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2). Больше всего не удовлетворены сайтами респонденты из МАУК «Объединение Ишимский ГКЦ».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2.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качеством, полнотой и доступностью информации о деятельности организации культуры, размещенной на официальных сайтах организации культуры?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30"/>
        <w:gridCol w:w="1533"/>
        <w:gridCol w:w="1479"/>
        <w:gridCol w:w="815"/>
        <w:gridCol w:w="1516"/>
        <w:gridCol w:w="1571"/>
      </w:tblGrid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видел сайт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84,7%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9,6%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5,6%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73,8%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17,2%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8,9%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82,9%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12,0%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5,1%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87,9%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7,6%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4,3%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95,9%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3,5%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,6%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99,4%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,6%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80,3%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18,1%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1,2%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96,1%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3,9%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98,1%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1,7%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43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78,1%</w:t>
            </w:r>
          </w:p>
        </w:tc>
        <w:tc>
          <w:tcPr>
            <w:tcW w:w="147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13,8%</w:t>
            </w:r>
          </w:p>
        </w:tc>
        <w:tc>
          <w:tcPr>
            <w:tcW w:w="81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7,8%</w:t>
            </w:r>
          </w:p>
        </w:tc>
        <w:tc>
          <w:tcPr>
            <w:tcW w:w="1516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7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комфортностью условий предоставления услуг в организациях культуры (Диаграмма 3).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009900"/>
            <wp:effectExtent l="0" t="0" r="0" b="0"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3). Больше всего не удовлетворены данным показателем респонденты из АУК ЗГО «Заводоуковский краеведческий музей».</w:t>
      </w:r>
    </w:p>
    <w:p>
      <w:pPr>
        <w:pStyle w:val="Normal"/>
        <w:spacing w:lineRule="auto" w:line="240" w:before="0" w:after="0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3.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в целом комфортностью предоставления услуг организацией культуры?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85,1%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,9%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77,7%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19,8%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2,4%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88,3%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11,1%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,5%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87,3%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2,8%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,7%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3,4%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,7%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81,0%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18,0%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95,9%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1,7%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82,2%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13,4%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4,0%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доступностью услуг для инвалидов в организациях культуры (Диаграмма 4).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467100"/>
            <wp:effectExtent l="0" t="0" r="0" b="0"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4). Больше всего не удовлетворены данным показателем респонденты из АУК ЗГО «Заводоуковский краеведческий музей».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4.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доступностью услуг для инвалидов в данной организации культуры?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75,2%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10,7%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64,2%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19,5%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15,5%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,8%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75,5%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10,5%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86,5%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,9%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95,1%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4,1%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,8%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98,8%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74,3%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16,4%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9,0%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96,6%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1,7%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78,0%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10,9%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доброжелательностью и вежливостью работников организации культуры, которые осуществляют информирование и первичный контакт с получателями услуг (Диаграмма 5).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305175"/>
            <wp:effectExtent l="0" t="0" r="0" b="0"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5). Больше всего не удовлетворены данным показателем респонденты из МАУК «Объединение Ишимский ГКЦ».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5.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доброжелательностью и вежливостью работников организации культуры, которые осуществляют информирование и первичный контакт с получателями услуг?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84,6%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1,8%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12,8%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1,6%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89,5%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9,7%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,8%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92,0%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6,1%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1,7%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82,9%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16,0%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,5%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98,6%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1,1%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86,5%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1,6%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доброжелательностью и вежливостью работников организации культуры, которые обеспечивают непосредственное оказание услуги (Диаграмма 6).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114675"/>
            <wp:effectExtent l="0" t="0" r="0" b="0"/>
            <wp:docPr id="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6). Больше всего не удовлетворены данным показателем респонденты из АУК ЗГО «Заводоуковский краеведческий музей».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6.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доброжелательностью и вежливостью работников организации культуры, которые обеспечивают непосредственное оказание услуги?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84,9%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88,1%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2,9%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93,1%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6,7%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93,2%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,7%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,5%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2,7%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83,9%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86,2%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2,8%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доброжелательностью и вежливостью работников организации культуры при использовании дистанционных форм взаимодействия (Диаграмма 7).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143250"/>
            <wp:effectExtent l="0" t="0" r="0" b="0"/>
            <wp:docPr id="8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7). Больше всего не удовлетворены данным показателем респонденты из АУК ЗГО «Заводоуковский краеведческий музей».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7.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доброжелательностью и вежливостью работников организации культуры при использовании дистанционных форм взаимодействия?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82,4%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11,4%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85,7%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3,7%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93,8%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,7%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88,7%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,7%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3,4%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84,0%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14,3%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1,3%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95,5%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99,1%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82,4%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4,6%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стали бы рекомендовать именно эту организацию культуры своим родственникам или знакомым (Диаграмма 8).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305175"/>
            <wp:effectExtent l="0" t="0" r="0" b="0"/>
            <wp:docPr id="9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8). Респонденты из АУК ЗГО «Заводоуковский краеведческий музей» чаще других не рекомендовали бы данное учреждение.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8.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Стали бы Вы рекомендовать именно эту организацию культуры своим родственникам или знакомым?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94"/>
        <w:gridCol w:w="1594"/>
        <w:gridCol w:w="1754"/>
        <w:gridCol w:w="1802"/>
      </w:tblGrid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Рекомендовал бы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рекомендовал бы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Затрудняюсь ответить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97,2%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2,8%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96,6%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,5%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2,9%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98,5%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1,5%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97,7%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1,7%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,6%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99,7%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100,0%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99,5%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,5%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100,0%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99,7%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</w:tr>
      <w:tr>
        <w:trPr/>
        <w:tc>
          <w:tcPr>
            <w:tcW w:w="41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98,8%</w:t>
            </w:r>
          </w:p>
        </w:tc>
        <w:tc>
          <w:tcPr>
            <w:tcW w:w="175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802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1,2%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организационными условиями оказания услуг, а именно наличием и понятностью навигации внутри организации культуры (Диаграмма 9).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124325"/>
            <wp:effectExtent l="0" t="0" r="0" b="0"/>
            <wp:docPr id="10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9). Больше всего не удовлетворены данным показателем респонденты из АУК ЗГО «Заводоуковский краеведческий музей».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9.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организационными условиями оказания услуг, а именно наличием и понятностью навигации внутри организации культуры?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86,9%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1,7%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1,9%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92,0%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1,0%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85,8%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11,3%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,7%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96,7%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99,7%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,3%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84,2%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14,2%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,5%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95,5%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4,5%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81,8%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7,0%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Большинство респондентов удовлетворены в целом условиями оказания услуг в организациях культуры (Диаграмма 10).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3190875"/>
            <wp:effectExtent l="0" t="0" r="0" b="0"/>
            <wp:docPr id="11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Рассмотрим результаты ответов респондентов на данный вопрос в разрезе учреждений (Таблица 10). Больше всего не удовлетворены данным показателем респонденты из АУК ЗГО «Заводоуковский краеведческий музей».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Таблица 10.</w:t>
      </w:r>
      <w:r>
        <w:rPr>
          <w:rFonts w:eastAsia="" w:cs="Times New Roman" w:ascii="Times New Roman" w:hAnsi="Times New Roman" w:eastAsiaTheme="minorEastAsia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Удовлетворены ли Вы в целом условиями оказания услуг в данной организации культуры?</w:t>
      </w:r>
    </w:p>
    <w:tbl>
      <w:tblPr>
        <w:tblStyle w:val="a3"/>
        <w:tblW w:w="934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39"/>
        <w:gridCol w:w="1509"/>
        <w:gridCol w:w="1463"/>
        <w:gridCol w:w="1000"/>
        <w:gridCol w:w="1494"/>
        <w:gridCol w:w="1539"/>
      </w:tblGrid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удовлетворен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удовлетворен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Не могу оценить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Скорее не удовлетворен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cs="Times New Roman" w:ascii="Times New Roman" w:hAnsi="Times New Roman"/>
                <w:sz w:val="20"/>
                <w:szCs w:val="28"/>
              </w:rPr>
              <w:t>Полностью не удовлетворен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87,4%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11,2%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1,2%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89,2%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93,6%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5,9%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,4%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89,3%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1,3%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,8%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2,6%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86,3%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13,6%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96,2%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3,8%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98,4%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1,5%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,1%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  <w:tr>
        <w:trPr/>
        <w:tc>
          <w:tcPr>
            <w:tcW w:w="23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150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85,0%</w:t>
            </w:r>
          </w:p>
        </w:tc>
        <w:tc>
          <w:tcPr>
            <w:tcW w:w="146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13,0%</w:t>
            </w:r>
          </w:p>
        </w:tc>
        <w:tc>
          <w:tcPr>
            <w:tcW w:w="100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1,8%</w:t>
            </w:r>
          </w:p>
        </w:tc>
        <w:tc>
          <w:tcPr>
            <w:tcW w:w="1494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  <w:lang w:val="en-US"/>
              </w:rPr>
              <w:t>0</w:t>
            </w:r>
            <w:r>
              <w:rPr>
                <w:rFonts w:cs="Times New Roman" w:ascii="Times New Roman" w:hAnsi="Times New Roman"/>
                <w:szCs w:val="28"/>
              </w:rPr>
              <w:t>,2%</w:t>
            </w:r>
          </w:p>
        </w:tc>
        <w:tc>
          <w:tcPr>
            <w:tcW w:w="1539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</w:r>
          </w:p>
        </w:tc>
      </w:tr>
    </w:tbl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br w:type="page"/>
      </w:r>
    </w:p>
    <w:p>
      <w:pPr>
        <w:pStyle w:val="1"/>
        <w:rPr/>
      </w:pPr>
      <w:bookmarkStart w:id="4" w:name="_Toc533068979"/>
      <w:bookmarkEnd w:id="4"/>
      <w:r>
        <w:rPr/>
        <w:t>Итоговые значения показателей независимой оценки в разрезе критериев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Критерий оценки качества «Открытость и доступность информации об организации»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Показатель «Соответствие информации о деятельности организации социальной сферы, размещенной на общедоступных информационных ресурсах, ее содержанию и порядку (форме), установленным законодательными и иными нормативными правовыми актами Российской Федерации: на информационных стендах в помещении организации социальной сферы; на официальном сайте организации социальной сферы в сети «Интернет».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Информационные стенды всех обследуемых организаций имеют всю необходимую информацию для обеспечения качественного оказания услуг в сфере культуры. Официальные сайты организаций в сети Интернет имеют некоторые недостатки, о которых подробно будет изложено в рекомендациях.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97,1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94,1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88,2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88,2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97,1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85,3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Показатель «Наличие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каждый функционирующий способ учреждение получает 30 баллов. При наличии более 3 способов учреждение получает максимальное количество баллов – 100 баллов.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Показатель «Доля получателей услуг, удовлетворенных открытостью, полнотой и доступностью информации о деятельности организации социальной сферы, размещенной на информационных стендах в помещении организации социальной сферы, на официальном сайте организации социальной сферы».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99,6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Критерий оценки качества «Комфортность условий предоставления услуг, в том числе время ожидания предоставления услуг»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Показатель «Обеспечение в организации социальной сферы комфортных условий предоставления услуг». 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Всего в ходе проведения независимой оценки оценивалось наличие следующих индикаторов: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комфортной зоны отдыха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 понятность навигации внутри организации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 доступность питьевой воды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и доступность санитарно-гигиенических помещений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Санитарное состояние помещений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Транспортная доступность</w:t>
      </w:r>
    </w:p>
    <w:p>
      <w:pPr>
        <w:pStyle w:val="ListParagraph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записи на услуги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каждый индикатор учреждению начисляется 20 баллов. При наличии 5 и более индикаторов учреждение получает 100 баллов.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данному показателю все учреждения получают максимальное значение – 100 баллов, поскольку имеют все необходимые условия комфортности. Выявленные недостатки будут указаны в рекомендациях.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Показатель «Время ожидания предоставления услуги» не применяется для учреждений культуры.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Показатель «Доля получателей услуг, удовлетворенных комфортностью предоставления услуг».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99,2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99,3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99,6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Критерий оценки качества «Доступность услуг для инвалидов»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Показатель «Оборудование помещений организации социальной сферы и прилегающей к ней территории с учетом доступности для инвалидов». Данный показатель включает в себя следующие индикаторы: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оборудованных входных групп пандусами (подъемными платформами)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выделенных стоянок для автотранспортных средств инвалидов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адаптированных лифтов, поручней, расширенных дверных проемов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сменных кресел-колясок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специально оборудованных санитарно-гигиенических помещений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каждый из представленных индикаторов учреждение получает 20 баллов. По результатам осмотра ни одно учреждение не получило максимальный балл, поскольку везде отсутствуют сменные кресла-коляски.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60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Показатель «Обеспечение в организации социальной сферы условий доступности, позволяющих инвалидам получать услуги наравне с другими». Данный показатель включает в себя следующие индикаторы: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дублирование для инвалидов по слуху и зрению звуковой и зрительной информации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дублирование надписей, знаков и иной текстовой и графической информации знаками, выполненными рельефно-точечным шрифтом Брайля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возможность предоставления инвалидам по слуху (слуху и зрению) услуг сурдопереводчика (тифлосурдопереводчика)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альтернативной версии официального сайта организации социальной сферы для инвалидов по зрению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помощь, оказываемая работниками организации социальной сферы, прошедшими необходимое обучение (инструктирование) по сопровождению инвалидов в помещениях организации социальной сферы и на прилегающей территории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наличие возможности предоставления услуги в дистанционном режиме или на дому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 каждый индикатор учреждение получает 20 баллов. При наличии 5 и более индикаторов учреждение получает максимальное значение – 100 баллов.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80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Показатель «Доля получателей услуг, удовлетворенных доступностью услуг для инвалидов».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99,1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99,7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Критерий оценки качества «Доброжелательность, вежливость работников организации социальной сферы»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Показатель «Доля получателей услуг, удовлетворенных доброжелательностью, вежливостью работников организации социальной сферы, обеспечивающих первичный контакт и информирование получателя услуги при непосредственном обращении в организацию».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99,6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99,7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99,4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Показатель «Доля получателей услуг, удовлетворенных доброжелательностью, вежливостью работников организации социальной сферы, обеспечивающих непосредственное оказание услуги при обращении в организацию».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99,5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99,6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Показатель «Доля получателей услуг, удовлетворенных доброжелательностью, вежливостью работников организации социальной сферы при использовании дистанционных форм взаимодействия».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99,2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99,6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Критерий оценки качества «Удовлетворенность условиями оказания услуг»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Показатель «Доля получателей услуг, которые готовы рекомендовать организацию социальной сферы родственникам и знакомым».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99,5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98,3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Показатель «Доля получателей услуг, удовлетворенных организационными условиями предоставления услуг».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99,2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99,5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Показатель «Доля получателей услуг, удовлетворенных в целом условиями оказания услуг в организации социальной сферы». Данный показатель рассчитывается как отношение удовлетворенных респондентов к количеству опрошенных.</w:t>
      </w:r>
    </w:p>
    <w:tbl>
      <w:tblPr>
        <w:tblStyle w:val="a3"/>
        <w:tblW w:w="8239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33"/>
        <w:gridCol w:w="2505"/>
      </w:tblGrid>
      <w:tr>
        <w:trPr/>
        <w:tc>
          <w:tcPr>
            <w:tcW w:w="5733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250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Количество баллов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ЗГО «Заводоуковский КДЦ»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«Районный ЦКиД»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МО ЗГО «Заводоуковский БЦ»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99,9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АУК ЗГО «Заводоуковский краеведческий музей»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99,1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«Арт-Вояж» Ялуторовск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«ЦБС г. Ялуторовска»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«Объединение Ишимский ГКЦ»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Цирковая студия «Мечта»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«Ишимская ГБС»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100</w:t>
            </w:r>
          </w:p>
        </w:tc>
      </w:tr>
      <w:tr>
        <w:trPr/>
        <w:tc>
          <w:tcPr>
            <w:tcW w:w="573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МАУК «Ишимский музейный комплекс им. П.П. Ершова»</w:t>
            </w:r>
          </w:p>
        </w:tc>
        <w:tc>
          <w:tcPr>
            <w:tcW w:w="2505" w:type="dxa"/>
            <w:tcBorders/>
            <w:shd w:fill="auto" w:val="clear"/>
            <w:tcMar>
              <w:left w:w="10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cs="Times New Roman" w:ascii="Times New Roman" w:hAnsi="Times New Roman"/>
                <w:szCs w:val="28"/>
              </w:rPr>
              <w:t>99,8</w:t>
            </w:r>
          </w:p>
        </w:tc>
      </w:tr>
    </w:tbl>
    <w:p>
      <w:pPr>
        <w:pStyle w:val="1"/>
        <w:rPr/>
      </w:pPr>
      <w:bookmarkStart w:id="5" w:name="_Toc533068980"/>
      <w:bookmarkEnd w:id="5"/>
      <w:r>
        <w:rPr/>
        <w:t>Рэнкинги и итоговые рейтинги учреждений культуры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143375"/>
            <wp:effectExtent l="0" t="0" r="0" b="0"/>
            <wp:docPr id="12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467225"/>
            <wp:effectExtent l="0" t="0" r="0" b="0"/>
            <wp:docPr id="1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467225"/>
            <wp:effectExtent l="0" t="0" r="0" b="0"/>
            <wp:docPr id="1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467225"/>
            <wp:effectExtent l="0" t="0" r="0" b="0"/>
            <wp:docPr id="1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467225"/>
            <wp:effectExtent l="0" t="0" r="0" b="0"/>
            <wp:docPr id="1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0" distL="0" distR="0">
            <wp:extent cx="5486400" cy="4467225"/>
            <wp:effectExtent l="0" t="0" r="0" b="0"/>
            <wp:docPr id="17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>
        <w:br w:type="page"/>
      </w:r>
    </w:p>
    <w:p>
      <w:pPr>
        <w:pStyle w:val="1"/>
        <w:rPr/>
      </w:pPr>
      <w:bookmarkStart w:id="6" w:name="_Toc533068981"/>
      <w:bookmarkEnd w:id="6"/>
      <w:r>
        <w:rPr/>
        <w:t>ЗАКЛЮЧЕНИЕ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результатам проведения независимой оценки условий оказания услуг культуры учреждениями культуры Тюменской области можно сделать следующие выводы: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Открытость и доступность информации об организациях находится на достаточно высоком уровне. Все официальные сайты учреждений </w:t>
      </w:r>
      <w:r>
        <w:rPr>
          <w:rFonts w:cs="Times New Roman" w:ascii="Times New Roman" w:hAnsi="Times New Roman"/>
          <w:sz w:val="28"/>
          <w:szCs w:val="28"/>
        </w:rPr>
        <w:t>культуры</w:t>
      </w:r>
      <w:r>
        <w:rPr>
          <w:rFonts w:cs="Times New Roman" w:ascii="Times New Roman" w:hAnsi="Times New Roman"/>
          <w:sz w:val="28"/>
          <w:szCs w:val="28"/>
        </w:rPr>
        <w:t xml:space="preserve"> практически полностью соответствуют нормативным актам. Всю необходимую информацию получатели услуг могут найти также внутри помещений организаций. Лишь небольшая доля респондентов не удовлетворена качеством полнотой и доступностью, представленной на сайтах и стендах информации;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Комфортность условий оказания услуг также можно охарактеризовать как высокую, поскольку в учреждениях созданы все необходимые условия для комфортного ожидания предоставления услуги и пребывания в помещениях организаций. Не удовлетворены данным показателем лишь небольшая доля респондентов;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3. Доступность услуг для инвалидов также находится на высоком уровне. Во всех организациях созданы практически все необходимые условия для беспрепятственного доступа инвалидов в помещения организаций и передвижения по ним. Также есть и все необходимые условия для получения услуг инвалидами наравне с другими получателями услуг. Лишь небольшая доля опрошенных инвалидов не удовлетворены доступностью </w:t>
      </w:r>
      <w:r>
        <w:rPr>
          <w:rFonts w:cs="Times New Roman" w:ascii="Times New Roman" w:hAnsi="Times New Roman"/>
          <w:sz w:val="28"/>
          <w:szCs w:val="28"/>
        </w:rPr>
        <w:t>учреждений культуры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4. Если говорить о доброжелательности и вежливости работников организаций, то данный критерий также находится на достаточно высоком уровне. Лишь небольшая доля опрошенных отметила, что не удовлетворены отношением работников, будь то встречающий персонал, непосредственно </w:t>
      </w:r>
      <w:r>
        <w:rPr>
          <w:rFonts w:cs="Times New Roman" w:ascii="Times New Roman" w:hAnsi="Times New Roman"/>
          <w:sz w:val="28"/>
          <w:szCs w:val="28"/>
        </w:rPr>
        <w:t>специалисты</w:t>
      </w:r>
      <w:r>
        <w:rPr>
          <w:rFonts w:cs="Times New Roman" w:ascii="Times New Roman" w:hAnsi="Times New Roman"/>
          <w:sz w:val="28"/>
          <w:szCs w:val="28"/>
        </w:rPr>
        <w:t>, или работники осуществляющие дистанционное взаимодействие с организацией;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Условиями оказания услуг также удовлетворено большинство опрошенных. Это касается и услуг в целом и организационных условий, а также многие готовы рекомендовать </w:t>
      </w:r>
      <w:r>
        <w:rPr>
          <w:rFonts w:cs="Times New Roman" w:ascii="Times New Roman" w:hAnsi="Times New Roman"/>
          <w:sz w:val="28"/>
          <w:szCs w:val="28"/>
        </w:rPr>
        <w:t>учреждения культуры</w:t>
      </w:r>
      <w:r>
        <w:rPr>
          <w:rFonts w:cs="Times New Roman" w:ascii="Times New Roman" w:hAnsi="Times New Roman"/>
          <w:sz w:val="28"/>
          <w:szCs w:val="28"/>
        </w:rPr>
        <w:t xml:space="preserve"> своим друзьям и знакомым.</w:t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1"/>
        <w:rPr/>
      </w:pPr>
      <w:bookmarkStart w:id="7" w:name="_Toc533068982"/>
      <w:bookmarkEnd w:id="7"/>
      <w:r>
        <w:rPr/>
        <w:t>РЕКОМЕНДАЦИИ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Для обеспечения максимальных условий открытости и доступности информации об организациях культуры необходимо устранить все выявленные недостатки по данному показателю. В соответствии с единым порядком проведения независимой оценки качества выявлены следующие недостатки в части соответствия официальных сайтов нормативно-правовым актам: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129"/>
        <w:gridCol w:w="6215"/>
      </w:tblGrid>
      <w:tr>
        <w:trPr/>
        <w:tc>
          <w:tcPr>
            <w:tcW w:w="3129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6215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отсутствует</w:t>
            </w:r>
          </w:p>
        </w:tc>
      </w:tr>
      <w:tr>
        <w:trPr/>
        <w:tc>
          <w:tcPr>
            <w:tcW w:w="3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"Арт-Вояж"</w:t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</w:tr>
      <w:tr>
        <w:trPr/>
        <w:tc>
          <w:tcPr>
            <w:tcW w:w="312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"Централизованная библиотечная система г. Ялуторовска"</w:t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</w:tr>
      <w:tr>
        <w:trPr/>
        <w:tc>
          <w:tcPr>
            <w:tcW w:w="312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"Объединение Ишимский городской культурный центр"</w:t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</w:tr>
      <w:tr>
        <w:trPr/>
        <w:tc>
          <w:tcPr>
            <w:tcW w:w="312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Цирковая студия "Мечта"</w:t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</w:tr>
      <w:tr>
        <w:trPr/>
        <w:tc>
          <w:tcPr>
            <w:tcW w:w="312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"Ишимская городская библиотечная система"</w:t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</w:tr>
      <w:tr>
        <w:trPr/>
        <w:tc>
          <w:tcPr>
            <w:tcW w:w="312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"Ишимский музейный комплекс им. П. П. Ершова"</w:t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копии НПА, устанавливающих цены на услуги либо порядок их установления, перечень оказываемых платных услуг, цены на услуги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информация о материально-техническом обеспечении предоставления услуг организацией культуры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порядок оценки качества работы организации на основании определенных критериев эффективности работы организаций, утвержденный уполномоченным федеральным органом исполнительной власти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результаты независимой оценки качества оказания услуг организациями культуры, а также предложения об улучшении качества их деятельности</w:t>
            </w:r>
          </w:p>
        </w:tc>
      </w:tr>
      <w:tr>
        <w:trPr/>
        <w:tc>
          <w:tcPr>
            <w:tcW w:w="312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21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план по улучшению качества работы организации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Также, на официальных сайтах отсутствует информация о следующих способах дистанционной связи: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44"/>
        <w:gridCol w:w="5700"/>
      </w:tblGrid>
      <w:tr>
        <w:trPr/>
        <w:tc>
          <w:tcPr>
            <w:tcW w:w="3644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5700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Отсутствует информация на оф. сайте о способе дистанционной связи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ЗГО "Заводоуковский культурно-досуговый центр"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МО ЗГО "Районный центр культуры и досуга"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МО ЗГО "Заводоуковский библиотечный центр"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"Арт-Вояж"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"Централизованная библиотечная система г. Ялуторовска"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"Объединение Ишимский городской культурный центр"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Цирковая студия "Мечта"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"Ишимская городская библиотечная система"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Электронные сервисы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  <w:tr>
        <w:trPr/>
        <w:tc>
          <w:tcPr>
            <w:tcW w:w="3644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"Ишимский музейный комплекс им. П. П. Ершова"</w:t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Раздел "Часто задаваемые вопросы"</w:t>
            </w:r>
          </w:p>
        </w:tc>
      </w:tr>
      <w:tr>
        <w:trPr/>
        <w:tc>
          <w:tcPr>
            <w:tcW w:w="3644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5700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Техническая возможность выражения получателем услуг мнения о качестве условий оказания услуг организацией соц. сферы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Для повышения комфортности условий оказания услуг, необходимо устранить следующие недостатки, выявленные в ходе НОК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4672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отсутствует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"Ишимская городская библиотечная система"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Наличие и доступность питьевой воды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МО ЗГО "Заводоуковский библиотечный центр"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Наличие и доступность санитарно-гигиенических помещений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4) Для повышения доступности учреждений культуры для инвалидов необходимо устранить следующие недостатки, выявленные в ходе НОК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отсутствует</w:t>
            </w:r>
          </w:p>
        </w:tc>
        <w:tc>
          <w:tcPr>
            <w:tcW w:w="4672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Учреждения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Сменные кресла-коляски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Все учреждения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Специально оборудованное санитарно-гигиеническое помещения для инвалидов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"Ишимский музейный комплекс им. П. П. Ершова"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"Объединение Ишимский городской культурный центр"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"Ишимская городская библиотечная система"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ЗГО «Заводоуковский краеведческий музей»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5) Для повышения доступности в учреждениях культуры услуг для инвалидов, необходимо устранить следующие недостатки, выявленные в ходе НОК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2"/>
        <w:gridCol w:w="4672"/>
      </w:tblGrid>
      <w:tr>
        <w:trPr/>
        <w:tc>
          <w:tcPr>
            <w:tcW w:w="4672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Что отсутствует</w:t>
            </w:r>
          </w:p>
        </w:tc>
        <w:tc>
          <w:tcPr>
            <w:tcW w:w="4672" w:type="dxa"/>
            <w:tcBorders/>
            <w:shd w:color="auto" w:fill="9CC2E5" w:themeFill="accent1" w:themeFillTint="99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Учреждения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Дублирование звуковой и зрительной информации для инвалидов по слуху и зрению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"Объединение Ишимский городской культурный центр"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"Ишимская городская библиотечная система"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Дублирование текстовой информации шрифтом Брайля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"Ишимский музейный комплекс им. П. П. Ершова"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Цирковая студия "Мечта"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ЗГО «Заводоуковский краеведческий музей»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"Арт-Вояж"</w:t>
            </w:r>
          </w:p>
        </w:tc>
      </w:tr>
      <w:tr>
        <w:trPr/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Сурдоперевод (тифлосурдоперевод)</w:t>
            </w:r>
          </w:p>
        </w:tc>
        <w:tc>
          <w:tcPr>
            <w:tcW w:w="4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МАУК "Арт-Вояж"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ЗГО «Заводоуковский краеведческий музей»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  <w:t>АУК МО ЗГО "Заводоуковский библиотечный центр"</w:t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59" w:before="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1"/>
        <w:rPr/>
      </w:pPr>
      <w:bookmarkStart w:id="8" w:name="_Toc533068983"/>
      <w:bookmarkEnd w:id="8"/>
      <w:r>
        <w:rPr/>
        <w:t>ПРИЛОЖЕНИЕ №1. Список организаций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665" w:type="dxa"/>
        <w:jc w:val="lef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53"/>
        <w:gridCol w:w="2940"/>
        <w:gridCol w:w="5872"/>
      </w:tblGrid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2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Заводоуковский ГО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ЗГО «Заводоуковский культурно-досуговый центр»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 МО ЗГО "Районный центр культуры и досуга"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 МО ЗГО "Заводоуковский библиотечный центр"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АУК ЗГО "Заводоуковский краеведческий музей"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cs="Times New Roman"/>
          <w:vanish/>
          <w:sz w:val="28"/>
          <w:szCs w:val="28"/>
        </w:rPr>
      </w:pPr>
      <w:r>
        <w:rPr>
          <w:rFonts w:cs="Times New Roman" w:ascii="Times New Roman" w:hAnsi="Times New Roman"/>
          <w:vanish/>
          <w:sz w:val="28"/>
          <w:szCs w:val="28"/>
        </w:rPr>
      </w:r>
    </w:p>
    <w:tbl>
      <w:tblPr>
        <w:tblW w:w="9665" w:type="dxa"/>
        <w:jc w:val="left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53"/>
        <w:gridCol w:w="2940"/>
        <w:gridCol w:w="5872"/>
      </w:tblGrid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 Ялуторовск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«Арт-Вояж»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"Централизованная библиотечная система г. Ялуторовска"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г.Ишим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"Объединение Ишимский городской культурный центр"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Цирковая студия "Мечта"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"Ишимская городская библиотечная система"</w:t>
            </w:r>
          </w:p>
        </w:tc>
      </w:tr>
      <w:tr>
        <w:trPr/>
        <w:tc>
          <w:tcPr>
            <w:tcW w:w="85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numPr>
                <w:ilvl w:val="0"/>
                <w:numId w:val="1"/>
              </w:numPr>
              <w:spacing w:lineRule="auto" w:line="360" w:before="0" w:after="0"/>
              <w:ind w:left="0" w:hanging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40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87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  <w:tcMar>
              <w:left w:w="51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МАУК "Ишимский музейный комплекс им. П.П. Ершова</w:t>
            </w:r>
          </w:p>
        </w:tc>
      </w:tr>
    </w:tbl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footerReference w:type="default" r:id="rId20"/>
      <w:type w:val="nextPage"/>
      <w:pgSz w:w="11906" w:h="16838"/>
      <w:pgMar w:left="1701" w:right="850" w:header="0" w:top="1134" w:footer="708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 Light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70259657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33</w:t>
        </w:r>
        <w:r>
          <w:fldChar w:fldCharType="end"/>
        </w:r>
      </w:p>
    </w:sdtContent>
  </w:sdt>
  <w:p>
    <w:pPr>
      <w:pStyle w:val="Style23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222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Normal"/>
    <w:link w:val="10"/>
    <w:uiPriority w:val="9"/>
    <w:qFormat/>
    <w:rsid w:val="006222d0"/>
    <w:pPr>
      <w:keepNext/>
      <w:keepLines/>
      <w:spacing w:lineRule="auto" w:line="360" w:before="0" w:after="0"/>
      <w:jc w:val="center"/>
      <w:outlineLvl w:val="0"/>
    </w:pPr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>
    <w:name w:val="Интернет-ссылка"/>
    <w:basedOn w:val="DefaultParagraphFont"/>
    <w:uiPriority w:val="99"/>
    <w:unhideWhenUsed/>
    <w:rsid w:val="006f5c8b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6222d0"/>
    <w:rPr>
      <w:rFonts w:ascii="Times New Roman" w:hAnsi="Times New Roman" w:eastAsia="" w:cs="" w:cstheme="majorBidi" w:eastAsiaTheme="majorEastAsia"/>
      <w:b/>
      <w:sz w:val="28"/>
      <w:szCs w:val="32"/>
    </w:rPr>
  </w:style>
  <w:style w:type="character" w:styleId="Style14" w:customStyle="1">
    <w:name w:val="Верхний колонтитул Знак"/>
    <w:basedOn w:val="DefaultParagraphFont"/>
    <w:link w:val="a8"/>
    <w:uiPriority w:val="99"/>
    <w:qFormat/>
    <w:rsid w:val="006f5c8b"/>
    <w:rPr/>
  </w:style>
  <w:style w:type="character" w:styleId="Style15" w:customStyle="1">
    <w:name w:val="Нижний колонтитул Знак"/>
    <w:basedOn w:val="DefaultParagraphFont"/>
    <w:link w:val="aa"/>
    <w:uiPriority w:val="99"/>
    <w:qFormat/>
    <w:rsid w:val="006f5c8b"/>
    <w:rPr/>
  </w:style>
  <w:style w:type="character" w:styleId="ListLabel1">
    <w:name w:val="ListLabel 1"/>
    <w:qFormat/>
    <w:rPr>
      <w:rFonts w:ascii="Times New Roman" w:hAnsi="Times New Roman"/>
      <w:color w:val="000000"/>
      <w:sz w:val="28"/>
    </w:rPr>
  </w:style>
  <w:style w:type="character" w:styleId="ListLabel2">
    <w:name w:val="ListLabel 2"/>
    <w:qFormat/>
    <w:rPr>
      <w:rFonts w:ascii="Times New Roman" w:hAnsi="Times New Roman"/>
      <w:color w:val="000000"/>
      <w:sz w:val="28"/>
    </w:rPr>
  </w:style>
  <w:style w:type="character" w:styleId="ListLabel3">
    <w:name w:val="ListLabel 3"/>
    <w:qFormat/>
    <w:rPr>
      <w:rFonts w:ascii="Times New Roman" w:hAnsi="Times New Roman" w:cs="Symbol"/>
      <w:sz w:val="2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Style16">
    <w:name w:val="Ссылка указателя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b2fbd"/>
    <w:pPr>
      <w:spacing w:lineRule="auto" w:line="259"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07638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OCHeading">
    <w:name w:val="TOC Heading"/>
    <w:basedOn w:val="1"/>
    <w:uiPriority w:val="39"/>
    <w:unhideWhenUsed/>
    <w:qFormat/>
    <w:rsid w:val="006f5c8b"/>
    <w:pPr>
      <w:spacing w:lineRule="auto" w:line="259" w:before="240" w:after="0"/>
      <w:jc w:val="left"/>
    </w:pPr>
    <w:rPr>
      <w:rFonts w:ascii="Calibri Light" w:hAnsi="Calibri Light" w:asciiTheme="majorHAnsi" w:hAnsiTheme="majorHAnsi"/>
      <w:b w:val="false"/>
      <w:color w:val="2E74B5" w:themeColor="accent1" w:themeShade="bf"/>
      <w:sz w:val="32"/>
      <w:lang w:eastAsia="ru-RU"/>
    </w:rPr>
  </w:style>
  <w:style w:type="paragraph" w:styleId="12">
    <w:name w:val="Оглавление 1"/>
    <w:basedOn w:val="Normal"/>
    <w:autoRedefine/>
    <w:uiPriority w:val="39"/>
    <w:unhideWhenUsed/>
    <w:rsid w:val="006f5c8b"/>
    <w:pPr>
      <w:spacing w:before="0" w:after="100"/>
    </w:pPr>
    <w:rPr/>
  </w:style>
  <w:style w:type="paragraph" w:styleId="Style22">
    <w:name w:val="Верхний колонтитул"/>
    <w:basedOn w:val="Normal"/>
    <w:link w:val="a9"/>
    <w:uiPriority w:val="99"/>
    <w:unhideWhenUsed/>
    <w:rsid w:val="006f5c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Нижний колонтитул"/>
    <w:basedOn w:val="Normal"/>
    <w:link w:val="ab"/>
    <w:uiPriority w:val="99"/>
    <w:unhideWhenUsed/>
    <w:rsid w:val="006f5c8b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  <w:rsid w:val="002c7d9c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222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ociologos@bk.ru" TargetMode="External"/><Relationship Id="rId4" Type="http://schemas.openxmlformats.org/officeDocument/2006/relationships/chart" Target="charts/chart1.xml"/><Relationship Id="rId5" Type="http://schemas.openxmlformats.org/officeDocument/2006/relationships/chart" Target="charts/chart2.xml"/><Relationship Id="rId6" Type="http://schemas.openxmlformats.org/officeDocument/2006/relationships/chart" Target="charts/chart3.xml"/><Relationship Id="rId7" Type="http://schemas.openxmlformats.org/officeDocument/2006/relationships/chart" Target="charts/chart4.xml"/><Relationship Id="rId8" Type="http://schemas.openxmlformats.org/officeDocument/2006/relationships/chart" Target="charts/chart5.xml"/><Relationship Id="rId9" Type="http://schemas.openxmlformats.org/officeDocument/2006/relationships/chart" Target="charts/chart6.xml"/><Relationship Id="rId10" Type="http://schemas.openxmlformats.org/officeDocument/2006/relationships/chart" Target="charts/chart7.xml"/><Relationship Id="rId11" Type="http://schemas.openxmlformats.org/officeDocument/2006/relationships/chart" Target="charts/chart8.xml"/><Relationship Id="rId12" Type="http://schemas.openxmlformats.org/officeDocument/2006/relationships/chart" Target="charts/chart9.xml"/><Relationship Id="rId13" Type="http://schemas.openxmlformats.org/officeDocument/2006/relationships/chart" Target="charts/chart10.xml"/><Relationship Id="rId14" Type="http://schemas.openxmlformats.org/officeDocument/2006/relationships/chart" Target="charts/chart11.xml"/><Relationship Id="rId15" Type="http://schemas.openxmlformats.org/officeDocument/2006/relationships/chart" Target="charts/chart12.xml"/><Relationship Id="rId16" Type="http://schemas.openxmlformats.org/officeDocument/2006/relationships/chart" Target="charts/chart13.xml"/><Relationship Id="rId17" Type="http://schemas.openxmlformats.org/officeDocument/2006/relationships/chart" Target="charts/chart14.xml"/><Relationship Id="rId18" Type="http://schemas.openxmlformats.org/officeDocument/2006/relationships/chart" Target="charts/chart15.xml"/><Relationship Id="rId19" Type="http://schemas.openxmlformats.org/officeDocument/2006/relationships/chart" Target="charts/chart16.xml"/><Relationship Id="rId20" Type="http://schemas.openxmlformats.org/officeDocument/2006/relationships/footer" Target="footer1.xml"/><Relationship Id="rId21" Type="http://schemas.openxmlformats.org/officeDocument/2006/relationships/numbering" Target="numbering.xml"/><Relationship Id="rId22" Type="http://schemas.openxmlformats.org/officeDocument/2006/relationships/fontTable" Target="fontTable.xml"/><Relationship Id="rId23" Type="http://schemas.openxmlformats.org/officeDocument/2006/relationships/settings" Target="settings.xml"/><Relationship Id="rId24" Type="http://schemas.openxmlformats.org/officeDocument/2006/relationships/theme" Target="theme/theme1.xml"/><Relationship Id="rId25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.xlsx"/>
</Relationships>
</file>

<file path=word/charts/_rels/chart10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9.xlsx"/>
</Relationships>
</file>

<file path=word/charts/_rels/chart1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0.xlsx"/>
</Relationships>
</file>

<file path=word/charts/_rels/chart1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1.xlsx"/>
</Relationships>
</file>

<file path=word/charts/_rels/chart1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2.xlsx"/>
</Relationships>
</file>

<file path=word/charts/_rels/chart1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3.xlsx"/>
</Relationships>
</file>

<file path=word/charts/_rels/chart1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4.xlsx"/>
</Relationships>
</file>

<file path=word/charts/_rels/chart1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5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5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_rels/chart6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5.xlsx"/>
</Relationships>
</file>

<file path=word/charts/_rels/chart7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6.xlsx"/>
</Relationships>
</file>

<file path=word/charts/_rels/chart8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7.xlsx"/>
</Relationships>
</file>

<file path=word/charts/_rels/chart9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8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1. Удовлетворены ли Вы качеством, полнотой и доступностью информации о деятельности организации культуры, размещенной на информационных стендах в помещении организации культуры?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1. Удовлетворены ли Вы качеством, полнотой и доступностью информации о деятельности организации культуры, размещенной на информационных стендах в помещении организации культуры?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1"/>
              <c:showVal val="1"/>
              <c:showCatName val="1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видел стенды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0.905</c:v>
                </c:pt>
                <c:pt idx="1">
                  <c:v>0.078</c:v>
                </c:pt>
                <c:pt idx="2">
                  <c:v>0.016</c:v>
                </c:pt>
                <c:pt idx="3">
                  <c:v>0.001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10. Удовлетворены ли Вы в целом условиями оказания услуг в данной организации культуры?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10. Удовлетворены ли Вы в целом условиями оказания услуг в данной организации культуры?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0.919</c:v>
                </c:pt>
                <c:pt idx="1">
                  <c:v>0.074</c:v>
                </c:pt>
                <c:pt idx="2">
                  <c:v>0.006</c:v>
                </c:pt>
                <c:pt idx="3">
                  <c:v>0.001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Рэнкинги по критерию "Открытость и доступность информации об организации"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Рэнкинги по критерию 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АУК ЗГО «Заводоуковский краеведческий музей»</c:v>
                </c:pt>
                <c:pt idx="1">
                  <c:v>АУК МО ЗГО «Заводоуковский БЦ»</c:v>
                </c:pt>
                <c:pt idx="2">
                  <c:v>МАУК ЗГО «Заводоуковский КДЦ»</c:v>
                </c:pt>
                <c:pt idx="3">
                  <c:v>АУК МО ЗГО «Районный ЦКиД»</c:v>
                </c:pt>
                <c:pt idx="4">
                  <c:v>МАУК «Объединение Ишимский ГКЦ»</c:v>
                </c:pt>
                <c:pt idx="5">
                  <c:v>МАУК «Арт-Вояж» Ялуторовск</c:v>
                </c:pt>
                <c:pt idx="6">
                  <c:v>МАУК «ЦБС г. Ялуторовска»</c:v>
                </c:pt>
                <c:pt idx="7">
                  <c:v>МАУК Цирковая студия «Мечта»</c:v>
                </c:pt>
                <c:pt idx="8">
                  <c:v>МАУК «Ишимский музейный комплекс им. П.П. Ершова»</c:v>
                </c:pt>
                <c:pt idx="9">
                  <c:v>МАУК «Ишимская ГБС»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99.9</c:v>
                </c:pt>
                <c:pt idx="1">
                  <c:v>97</c:v>
                </c:pt>
                <c:pt idx="2">
                  <c:v>96.9</c:v>
                </c:pt>
                <c:pt idx="3">
                  <c:v>96.9</c:v>
                </c:pt>
                <c:pt idx="4">
                  <c:v>96.3</c:v>
                </c:pt>
                <c:pt idx="5">
                  <c:v>96.1</c:v>
                </c:pt>
                <c:pt idx="6">
                  <c:v>95.2</c:v>
                </c:pt>
                <c:pt idx="7">
                  <c:v>93.5</c:v>
                </c:pt>
                <c:pt idx="8">
                  <c:v>92.5</c:v>
                </c:pt>
                <c:pt idx="9">
                  <c:v>87.1</c:v>
                </c:pt>
              </c:numCache>
            </c:numRef>
          </c:val>
        </c:ser>
        <c:gapWidth val="219"/>
        <c:overlap val="-27"/>
        <c:axId val="10779563"/>
        <c:axId val="10288128"/>
      </c:barChart>
      <c:catAx>
        <c:axId val="1077956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10288128"/>
        <c:crosses val="autoZero"/>
        <c:auto val="1"/>
        <c:lblAlgn val="ctr"/>
        <c:lblOffset val="100"/>
      </c:catAx>
      <c:valAx>
        <c:axId val="10288128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0779563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Рэнкинги по критерию "Комфортность условий предоставления услуг"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Рэнкинги по критерию 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МАУК «Арт-Вояж» Ялуторовск</c:v>
                </c:pt>
                <c:pt idx="1">
                  <c:v>МАУК «ЦБС г. Ялуторовска»</c:v>
                </c:pt>
                <c:pt idx="2">
                  <c:v>МАУК Цирковая студия «Мечта»</c:v>
                </c:pt>
                <c:pt idx="3">
                  <c:v>МАУК ЗГО «Заводоуковский КДЦ»</c:v>
                </c:pt>
                <c:pt idx="4">
                  <c:v>АУК МО ЗГО «Районный ЦКиД»</c:v>
                </c:pt>
                <c:pt idx="5">
                  <c:v>АУК МО ЗГО «Заводоуковский БЦ»</c:v>
                </c:pt>
                <c:pt idx="6">
                  <c:v>МАУК «Ишимская ГБС»</c:v>
                </c:pt>
                <c:pt idx="7">
                  <c:v>МАУК «Ишимский музейный комплекс им. П.П. Ершова»</c:v>
                </c:pt>
                <c:pt idx="8">
                  <c:v>МАУК «Объединение Ишимский ГКЦ»</c:v>
                </c:pt>
                <c:pt idx="9">
                  <c:v>АУК ЗГО «Заводоуковский краеведческий музей»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99.9</c:v>
                </c:pt>
                <c:pt idx="4">
                  <c:v>99.9</c:v>
                </c:pt>
                <c:pt idx="5">
                  <c:v>99.9</c:v>
                </c:pt>
                <c:pt idx="6">
                  <c:v>99.9</c:v>
                </c:pt>
                <c:pt idx="7">
                  <c:v>99.8</c:v>
                </c:pt>
                <c:pt idx="8">
                  <c:v>99.7</c:v>
                </c:pt>
                <c:pt idx="9">
                  <c:v>99.6</c:v>
                </c:pt>
              </c:numCache>
            </c:numRef>
          </c:val>
        </c:ser>
        <c:gapWidth val="219"/>
        <c:overlap val="-27"/>
        <c:axId val="66270119"/>
        <c:axId val="1005722"/>
      </c:barChart>
      <c:catAx>
        <c:axId val="66270119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1005722"/>
        <c:crosses val="autoZero"/>
        <c:auto val="1"/>
        <c:lblAlgn val="ctr"/>
        <c:lblOffset val="100"/>
      </c:catAx>
      <c:valAx>
        <c:axId val="1005722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66270119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Рэнкинги по критерию "Доступность услуг для инвалидов"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Рэнкинги по критерию 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МАУК ЗГО «Заводоуковский КДЦ»</c:v>
                </c:pt>
                <c:pt idx="1">
                  <c:v>МАУК «Арт-Вояж» Ялуторовск</c:v>
                </c:pt>
                <c:pt idx="2">
                  <c:v>МАУК «Ишимская ГБС»</c:v>
                </c:pt>
                <c:pt idx="3">
                  <c:v>МАУК «Объединение Ишимский ГКЦ»</c:v>
                </c:pt>
                <c:pt idx="4">
                  <c:v>МАУК «Ишимский музейный комплекс им. П.П. Ершова»</c:v>
                </c:pt>
                <c:pt idx="5">
                  <c:v>АУК МО ЗГО «Заводоуковский БЦ»</c:v>
                </c:pt>
                <c:pt idx="6">
                  <c:v>АУК МО ЗГО «Районный ЦКиД»</c:v>
                </c:pt>
                <c:pt idx="7">
                  <c:v>АУК ЗГО «Заводоуковский краеведческий музей»</c:v>
                </c:pt>
                <c:pt idx="8">
                  <c:v>МАУК «ЦБС г. Ялуторовска»</c:v>
                </c:pt>
                <c:pt idx="9">
                  <c:v>МАУК Цирковая студия «Мечта»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94</c:v>
                </c:pt>
                <c:pt idx="1">
                  <c:v>94</c:v>
                </c:pt>
                <c:pt idx="2">
                  <c:v>94</c:v>
                </c:pt>
                <c:pt idx="3">
                  <c:v>93.9</c:v>
                </c:pt>
                <c:pt idx="4">
                  <c:v>93.9</c:v>
                </c:pt>
                <c:pt idx="5">
                  <c:v>88</c:v>
                </c:pt>
                <c:pt idx="6">
                  <c:v>87.7</c:v>
                </c:pt>
                <c:pt idx="7">
                  <c:v>87.7</c:v>
                </c:pt>
                <c:pt idx="8">
                  <c:v>86</c:v>
                </c:pt>
                <c:pt idx="9">
                  <c:v>80</c:v>
                </c:pt>
              </c:numCache>
            </c:numRef>
          </c:val>
        </c:ser>
        <c:gapWidth val="219"/>
        <c:overlap val="-27"/>
        <c:axId val="4519867"/>
        <c:axId val="59031707"/>
      </c:barChart>
      <c:catAx>
        <c:axId val="4519867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59031707"/>
        <c:crosses val="autoZero"/>
        <c:auto val="1"/>
        <c:lblAlgn val="ctr"/>
        <c:lblOffset val="100"/>
      </c:catAx>
      <c:valAx>
        <c:axId val="59031707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4519867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Рэнкинги по критерию "Доброжелательность и вежливость работников"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Рэнкинги по критерию 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АУК МО ЗГО «Заводоуковский БЦ»</c:v>
                </c:pt>
                <c:pt idx="1">
                  <c:v>МАУК «Арт-Вояж» Ялуторовск</c:v>
                </c:pt>
                <c:pt idx="2">
                  <c:v>МАУК «ЦБС г. Ялуторовска»</c:v>
                </c:pt>
                <c:pt idx="3">
                  <c:v>МАУК Цирковая студия «Мечта»</c:v>
                </c:pt>
                <c:pt idx="4">
                  <c:v>МАУК «Ишимский музейный комплекс им. П.П. Ершова»</c:v>
                </c:pt>
                <c:pt idx="5">
                  <c:v>АУК МО ЗГО «Районный ЦКиД»</c:v>
                </c:pt>
                <c:pt idx="6">
                  <c:v>МАУК «Ишимская ГБС»</c:v>
                </c:pt>
                <c:pt idx="7">
                  <c:v>МАУК ЗГО «Заводоуковский КДЦ»</c:v>
                </c:pt>
                <c:pt idx="8">
                  <c:v>АУК ЗГО «Заводоуковский краеведческий музей»</c:v>
                </c:pt>
                <c:pt idx="9">
                  <c:v>МАУК «Объединение Ишимский ГКЦ»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99.9</c:v>
                </c:pt>
                <c:pt idx="6">
                  <c:v>99.9</c:v>
                </c:pt>
                <c:pt idx="7">
                  <c:v>99.7</c:v>
                </c:pt>
                <c:pt idx="8">
                  <c:v>99.5</c:v>
                </c:pt>
                <c:pt idx="9">
                  <c:v>99.5</c:v>
                </c:pt>
              </c:numCache>
            </c:numRef>
          </c:val>
        </c:ser>
        <c:gapWidth val="219"/>
        <c:overlap val="-27"/>
        <c:axId val="17378132"/>
        <c:axId val="246095"/>
      </c:barChart>
      <c:catAx>
        <c:axId val="17378132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246095"/>
        <c:crosses val="autoZero"/>
        <c:auto val="1"/>
        <c:lblAlgn val="ctr"/>
        <c:lblOffset val="100"/>
      </c:catAx>
      <c:valAx>
        <c:axId val="246095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17378132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Рэнкинги по критерию "Удовлетворенность условиями оказания услуг"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Рэнкинги по критерию 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МАУК «ЦБС г. Ялуторовска»</c:v>
                </c:pt>
                <c:pt idx="1">
                  <c:v>МАУК Цирковая студия «Мечта»</c:v>
                </c:pt>
                <c:pt idx="2">
                  <c:v>МАУК «Ишимская ГБС»</c:v>
                </c:pt>
                <c:pt idx="3">
                  <c:v>МАУК ЗГО «Заводоуковский КДЦ»</c:v>
                </c:pt>
                <c:pt idx="4">
                  <c:v>АУК МО ЗГО «Заводоуковский БЦ»</c:v>
                </c:pt>
                <c:pt idx="5">
                  <c:v>МАУК «Арт-Вояж» Ялуторовск</c:v>
                </c:pt>
                <c:pt idx="6">
                  <c:v>МАУК «Объединение Ишимский ГКЦ»</c:v>
                </c:pt>
                <c:pt idx="7">
                  <c:v>МАУК «Ишимский музейный комплекс им. П.П. Ершова»</c:v>
                </c:pt>
                <c:pt idx="8">
                  <c:v>АУК МО ЗГО «Районный ЦКиД»</c:v>
                </c:pt>
                <c:pt idx="9">
                  <c:v>АУК ЗГО «Заводоуковский краеведческий музей»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99.9</c:v>
                </c:pt>
                <c:pt idx="4">
                  <c:v>99.9</c:v>
                </c:pt>
                <c:pt idx="5">
                  <c:v>99.9</c:v>
                </c:pt>
                <c:pt idx="6">
                  <c:v>99.9</c:v>
                </c:pt>
                <c:pt idx="7">
                  <c:v>99.9</c:v>
                </c:pt>
                <c:pt idx="8">
                  <c:v>99.8</c:v>
                </c:pt>
                <c:pt idx="9">
                  <c:v>98.9</c:v>
                </c:pt>
              </c:numCache>
            </c:numRef>
          </c:val>
        </c:ser>
        <c:gapWidth val="219"/>
        <c:overlap val="-27"/>
        <c:axId val="55162783"/>
        <c:axId val="17755207"/>
      </c:barChart>
      <c:catAx>
        <c:axId val="55162783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17755207"/>
        <c:crosses val="autoZero"/>
        <c:auto val="1"/>
        <c:lblAlgn val="ctr"/>
        <c:lblOffset val="100"/>
      </c:catAx>
      <c:valAx>
        <c:axId val="17755207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5162783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4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Итоговые рейтинги учреждений</a:t>
            </a:r>
          </a:p>
        </c:rich>
      </c:tx>
      <c:overlay val="0"/>
    </c:title>
    <c:autoTitleDeleted val="0"/>
    <c:plotArea>
      <c:barChart>
        <c:barDir val="col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Итоговые рейтинги учреждений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invertIfNegative val="0"/>
          <c:dLbls>
            <c:dLblPos val="outEnd"/>
            <c:showLegendKey val="0"/>
            <c:showVal val="1"/>
            <c:showCatName val="0"/>
            <c:showSerName val="0"/>
            <c:showPercent val="0"/>
            <c:showLeaderLines val="0"/>
          </c:dLbls>
          <c:cat>
            <c:strRef>
              <c:f>categories</c:f>
              <c:strCache>
                <c:ptCount val="10"/>
                <c:pt idx="0">
                  <c:v>МАУК ЗГО «Заводоуковский КДЦ»</c:v>
                </c:pt>
                <c:pt idx="1">
                  <c:v>МАУК «Арт-Вояж» Ялуторовск</c:v>
                </c:pt>
                <c:pt idx="2">
                  <c:v>МАУК «Объединение Ишимский ГКЦ»</c:v>
                </c:pt>
                <c:pt idx="3">
                  <c:v>МАУК «Ишимский музейный комплекс им. П.П. Ершова»</c:v>
                </c:pt>
                <c:pt idx="4">
                  <c:v>АУК ЗГО «Заводоуковский краеведческий музей»</c:v>
                </c:pt>
                <c:pt idx="5">
                  <c:v>АУК МО ЗГО «Заводоуковский БЦ»</c:v>
                </c:pt>
                <c:pt idx="6">
                  <c:v>АУК МО ЗГО «Районный ЦКиД»</c:v>
                </c:pt>
                <c:pt idx="7">
                  <c:v>МАУК «ЦБС г. Ялуторовска»</c:v>
                </c:pt>
                <c:pt idx="8">
                  <c:v>МАУК «Ишимская ГБС»</c:v>
                </c:pt>
                <c:pt idx="9">
                  <c:v>МАУК Цирковая студия «Мечта»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0"/>
                <c:pt idx="0">
                  <c:v>98.1</c:v>
                </c:pt>
                <c:pt idx="1">
                  <c:v>98</c:v>
                </c:pt>
                <c:pt idx="2">
                  <c:v>97.9</c:v>
                </c:pt>
                <c:pt idx="3">
                  <c:v>97.2</c:v>
                </c:pt>
                <c:pt idx="4">
                  <c:v>97.1</c:v>
                </c:pt>
                <c:pt idx="5">
                  <c:v>96.9</c:v>
                </c:pt>
                <c:pt idx="6">
                  <c:v>96.8</c:v>
                </c:pt>
                <c:pt idx="7">
                  <c:v>96.2</c:v>
                </c:pt>
                <c:pt idx="8">
                  <c:v>96.2</c:v>
                </c:pt>
                <c:pt idx="9">
                  <c:v>94.7</c:v>
                </c:pt>
              </c:numCache>
            </c:numRef>
          </c:val>
        </c:ser>
        <c:gapWidth val="219"/>
        <c:overlap val="-27"/>
        <c:axId val="5040455"/>
        <c:axId val="82713641"/>
      </c:barChart>
      <c:catAx>
        <c:axId val="5040455"/>
        <c:scaling>
          <c:orientation val="minMax"/>
        </c:scaling>
        <c:delete val="0"/>
        <c:axPos val="b"/>
        <c:numFmt formatCode="DD/MM/YYYY" sourceLinked="1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p>
            <a:pPr>
              <a:defRPr b="0" sz="9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</a:p>
        </c:txPr>
        <c:crossAx val="82713641"/>
        <c:crosses val="autoZero"/>
        <c:auto val="1"/>
        <c:lblAlgn val="ctr"/>
        <c:lblOffset val="100"/>
      </c:catAx>
      <c:valAx>
        <c:axId val="82713641"/>
        <c:scaling>
          <c:orientation val="minMax"/>
        </c:scaling>
        <c:delete val="1"/>
        <c:axPos val="l"/>
        <c:numFmt formatCode="General" sourceLinked="0"/>
        <c:majorTickMark val="none"/>
        <c:minorTickMark val="none"/>
        <c:tickLblPos val="nextTo"/>
        <c:spPr>
          <a:ln w="6480">
            <a:solidFill>
              <a:srgbClr val="8b8b8b"/>
            </a:solidFill>
            <a:round/>
          </a:ln>
        </c:spPr>
        <c:txPr>
          <a:bodyPr/>
          <a:p>
            <a:pPr>
              <a:defRPr b="0" sz="10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Calibri"/>
              </a:defRPr>
            </a:pPr>
          </a:p>
        </c:txPr>
        <c:crossAx val="5040455"/>
        <c:crosses val="autoZero"/>
        <c:crossBetween val="midCat"/>
      </c:valAx>
      <c:spPr>
        <a:noFill/>
        <a:ln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2. Удовлетворены ли Вы качеством, полнотой и доступностью информации о деятельности организации культуры, размещенной на официальном сайте организации культуры в сети «Интернет»?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2. Удовлетворены ли Вы качеством, полнотой и доступностью информации о деятельности организации культуры, размещенной на официальном сайте организации культуры в сети «Интернет»?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видел стенды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0.871</c:v>
                </c:pt>
                <c:pt idx="1">
                  <c:v>0.091</c:v>
                </c:pt>
                <c:pt idx="2">
                  <c:v>0.036</c:v>
                </c:pt>
                <c:pt idx="3">
                  <c:v>0.001</c:v>
                </c:pt>
                <c:pt idx="4">
                  <c:v>0.001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3. Удовлетворены ли Вы в целом комфортностью предоставления услуг организацией культуры?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3. Удовлетворены ли Вы в целом комфортностью предоставления услуг организацией культуры?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0.886</c:v>
                </c:pt>
                <c:pt idx="1">
                  <c:v>0.099</c:v>
                </c:pt>
                <c:pt idx="2">
                  <c:v>0.012</c:v>
                </c:pt>
                <c:pt idx="3">
                  <c:v>0.002</c:v>
                </c:pt>
                <c:pt idx="4">
                  <c:v>0.001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4. Удовлетворены ли Вы доступностью услуг для инвалидов в данной организации культуры?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4. Удовлетворены ли Вы доступностью услуг для инвалидов в данной организации культуры?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0.834</c:v>
                </c:pt>
                <c:pt idx="1">
                  <c:v>0.094</c:v>
                </c:pt>
                <c:pt idx="2">
                  <c:v>0.07</c:v>
                </c:pt>
                <c:pt idx="3">
                  <c:v>0.002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5. Удовлетворены ли Вы доброжелательностью и вежливостью работников организации культуры, которые осуществляют информирование и первичный контакт с получателями услуг?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5. Удовлетворены ли Вы доброжелательностью и вежливостью работников организации культуры, которые осуществляют информирование и первичный контакт с получателями услуг?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0.91</c:v>
                </c:pt>
                <c:pt idx="1">
                  <c:v>0.08</c:v>
                </c:pt>
                <c:pt idx="2">
                  <c:v>0.009</c:v>
                </c:pt>
                <c:pt idx="3">
                  <c:v>0.001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6. Удовлетворены ли Вы доброжелательностью и вежливостью работников организации культуры, которые обеспечивают непосредственное оказание услуги?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6. Удовлетворены ли Вы доброжелательностью и вежливостью работников организации культуры, которые обеспечивают непосредственное оказание услуги?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0.919</c:v>
                </c:pt>
                <c:pt idx="1">
                  <c:v>0.066</c:v>
                </c:pt>
                <c:pt idx="2">
                  <c:v>0.014</c:v>
                </c:pt>
                <c:pt idx="3">
                  <c:v>0.001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7. Удовлетворены ли Вы доброжелательностью и вежливостью работников организации культуры при использовании дистанционных форм взаимодействия?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7. Удовлетворены ли Вы доброжелательностью и вежливостью работников организации культуры при использовании дистанционных форм взаимодействия?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0.904</c:v>
                </c:pt>
                <c:pt idx="1">
                  <c:v>0.075</c:v>
                </c:pt>
                <c:pt idx="2">
                  <c:v>0.02</c:v>
                </c:pt>
                <c:pt idx="3">
                  <c:v>0.001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8. Стали бы Вы рекомендовать именно эту организацию культуры своим родственникам или знакомым?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8. Стали бы Вы рекомендовать именно эту организацию культуры своим родственникам или знакомым?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3"/>
                <c:pt idx="0">
                  <c:v>Рекомендовал бы</c:v>
                </c:pt>
                <c:pt idx="1">
                  <c:v>Не рекомендовал бы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0.987</c:v>
                </c:pt>
                <c:pt idx="1">
                  <c:v>0.003</c:v>
                </c:pt>
                <c:pt idx="2">
                  <c:v>0.01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defRPr>
            </a:pPr>
            <a:r>
              <a:rPr b="0" sz="1100" spc="-1" strike="noStrike">
                <a:solidFill>
                  <a:srgbClr val="000000"/>
                </a:solidFill>
                <a:uFill>
                  <a:solidFill>
                    <a:srgbClr val="ffffff"/>
                  </a:solidFill>
                </a:uFill>
                <a:latin typeface="Times New Roman"/>
              </a:rPr>
              <a:t>Диаграмма 9. Удовлетворены ли Вы организационными условиями оказания услуг, а именно наличием и понятностью навигации внутри организации культуры ?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spPr>
        <a:solidFill>
          <a:srgbClr val="d9d9d9"/>
        </a:solidFill>
        <a:ln>
          <a:noFill/>
        </a:ln>
      </c:spPr>
    </c:floor>
    <c:backWall>
      <c:spPr>
        <a:solidFill>
          <a:srgbClr val="d9d9d9"/>
        </a:solidFill>
        <a:ln>
          <a:noFill/>
        </a:ln>
      </c:spPr>
    </c:backWall>
    <c:plotArea>
      <c:pie3D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Диаграмма 9. Удовлетворены ли Вы организационными условиями оказания услуг, а именно наличием и понятностью навигации внутри организации культуры ?</c:v>
                </c:pt>
              </c:strCache>
            </c:strRef>
          </c:tx>
          <c:spPr>
            <a:solidFill>
              <a:srgbClr val="5b9bd5"/>
            </a:solidFill>
            <a:ln>
              <a:noFill/>
            </a:ln>
          </c:spPr>
          <c:explosion val="0"/>
          <c:dPt>
            <c:idx val="0"/>
            <c:spPr>
              <a:solidFill>
                <a:srgbClr val="5b9bd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1"/>
            <c:spPr>
              <a:solidFill>
                <a:srgbClr val="ed7d31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2"/>
            <c:spPr>
              <a:solidFill>
                <a:srgbClr val="a5a5a5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3"/>
            <c:spPr>
              <a:solidFill>
                <a:srgbClr val="ffc000"/>
              </a:solidFill>
              <a:ln w="25560">
                <a:solidFill>
                  <a:srgbClr val="ffffff"/>
                </a:solidFill>
                <a:round/>
              </a:ln>
            </c:spPr>
          </c:dPt>
          <c:dPt>
            <c:idx val="4"/>
            <c:spPr>
              <a:solidFill>
                <a:srgbClr val="4472c4"/>
              </a:solidFill>
              <a:ln w="25560">
                <a:solidFill>
                  <a:srgbClr val="ffffff"/>
                </a:solidFill>
                <a:round/>
              </a:ln>
            </c:spPr>
          </c:dPt>
          <c:dLbls>
            <c:dLbl>
              <c:idx val="0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1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2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3"/>
              <c:dLblPos val="bestFit"/>
              <c:showLegendKey val="0"/>
              <c:showVal val="0"/>
              <c:showCatName val="0"/>
              <c:showSerName val="0"/>
              <c:showPercent val="1"/>
            </c:dLbl>
            <c:dLbl>
              <c:idx val="4"/>
              <c:dLblPos val="bestFit"/>
              <c:showLegendKey val="0"/>
              <c:showVal val="0"/>
              <c:showCatName val="0"/>
              <c:showSerName val="0"/>
              <c:showPercent val="1"/>
            </c:dLbl>
            <c:dLblPos val="bestFit"/>
            <c:showLegendKey val="0"/>
            <c:showVal val="0"/>
            <c:showCatName val="0"/>
            <c:showSerName val="0"/>
            <c:showPercent val="1"/>
            <c:showLeaderLines val="0"/>
          </c:dLbls>
          <c:cat>
            <c:strRef>
              <c:f>categories</c:f>
              <c:strCache>
                <c:ptCount val="5"/>
                <c:pt idx="0">
                  <c:v>Полностью удовлетворен</c:v>
                </c:pt>
                <c:pt idx="1">
                  <c:v>Скорее удовлетворен</c:v>
                </c:pt>
                <c:pt idx="2">
                  <c:v>Не могу оценить</c:v>
                </c:pt>
                <c:pt idx="3">
                  <c:v>Скорее не удовлетворен</c:v>
                </c:pt>
                <c:pt idx="4">
                  <c:v>Полностью не удовлетоврен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0.903</c:v>
                </c:pt>
                <c:pt idx="1">
                  <c:v>0.08</c:v>
                </c:pt>
                <c:pt idx="2">
                  <c:v>0.016</c:v>
                </c:pt>
                <c:pt idx="3">
                  <c:v>0.001</c:v>
                </c:pt>
                <c:pt idx="4">
                  <c:v>0</c:v>
                </c:pt>
              </c:numCache>
            </c:numRef>
          </c:val>
        </c:ser>
      </c:pie3DChart>
      <c:spPr>
        <a:solidFill>
          <a:srgbClr val="d9d9d9"/>
        </a:solidFill>
        <a:ln>
          <a:noFill/>
        </a:ln>
      </c:spPr>
    </c:plotArea>
    <c:legend>
      <c:legendPos val="b"/>
      <c:overlay val="0"/>
      <c:spPr>
        <a:noFill/>
        <a:ln>
          <a:noFill/>
        </a:ln>
      </c:spPr>
    </c:legend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94D78-2027-4301-948F-3F511236A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Application>LibreOffice/5.1.1.3$Windows_x86 LibreOffice_project/89f508ef3ecebd2cfb8e1def0f0ba9a803b88a6d</Application>
  <Pages>33</Pages>
  <Words>4192</Words>
  <Characters>28648</Characters>
  <CharactersWithSpaces>31834</CharactersWithSpaces>
  <Paragraphs>1013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2018-12-19T08:09:00Z</dcterms:created>
  <dc:creator>Эмпирика</dc:creator>
  <dc:description/>
  <dc:language>ru-RU</dc:language>
  <cp:lastModifiedBy/>
  <dcterms:modified xsi:type="dcterms:W3CDTF">2018-12-25T12:13:27Z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